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0"/>
          <w:sz w:val="20"/>
          <w:szCs w:val="20"/>
        </w:rPr>
      </w:pPr>
      <w:r>
        <w:rPr>
          <w:sz w:val="24"/>
          <w:szCs w:val="24"/>
        </w:rPr>
        <w:t xml:space="preserve">Uchwała nr </w:t>
      </w:r>
      <w:r>
        <w:rPr>
          <w:b/>
          <w:sz w:val="24"/>
          <w:szCs w:val="24"/>
        </w:rPr>
        <w:t>RGK.0007.129.2014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Rady Gminy Białe Błota</w:t>
      </w:r>
      <w:r>
        <w:rPr>
          <w:sz w:val="24"/>
          <w:szCs w:val="24"/>
        </w:rPr>
        <w:br/>
        <w:t xml:space="preserve">z dnia </w:t>
      </w:r>
      <w:r>
        <w:rPr>
          <w:b/>
          <w:sz w:val="24"/>
          <w:szCs w:val="24"/>
        </w:rPr>
        <w:t>30 października 2014</w:t>
      </w:r>
      <w:r/>
    </w:p>
    <w:p>
      <w:pPr>
        <w:pStyle w:val="Normal"/>
        <w:spacing w:before="0" w:after="283"/>
        <w:rPr>
          <w:sz w:val="20"/>
          <w:sz w:val="20"/>
          <w:szCs w:val="20"/>
          <w:rFonts w:ascii="Verdana;Arial" w:hAnsi="Verdana;Arial" w:cs="Verdana;Arial"/>
        </w:rPr>
      </w:pPr>
      <w:r>
        <w:rPr>
          <w:sz w:val="20"/>
          <w:szCs w:val="20"/>
        </w:rPr>
        <w:br/>
      </w:r>
      <w:r>
        <w:rPr>
          <w:b/>
          <w:sz w:val="26"/>
          <w:szCs w:val="26"/>
        </w:rPr>
        <w:t xml:space="preserve">w sprawie określenia wysokości stawek podatku od środków transportowych w 2015 r. </w:t>
      </w:r>
      <w:r>
        <w:rPr>
          <w:sz w:val="20"/>
          <w:szCs w:val="20"/>
        </w:rPr>
        <w:br/>
        <w:br/>
        <w:t xml:space="preserve">Na podstawie art. 18 ust. 2 pkt 8 ustawy z dnia 8 marca 1990 r. o samorządzie gminnym (tj. Dz. U. 2013 r., poz. 594, zm. poz. 645 ze zm.) i art. 10 ust. 1 i 2 ustawy z dnia 12 stycznia 1991 r. o podatkach i opłatach lokalnych1 (tj. Dz. U. z 2014 r., poz. 849), uchwala się, co następuje: </w:t>
        <w:br/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§ 1. Określa się wysokość rocznych stawek podatku od jednego środka transportowego obowiązujących na terenie Gminy Białe Błota w 2015 r.: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1) od samochodów ciężarowych o dopuszczalnej masie całkowitej pojazdu: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a) powyżej 3,5 ton do 5,5 ton włącznie - 460,00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b) powyżej 5,5 ton do 9 ton włącznie - 720,00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c) powyżej 9 ton, a poniżej 12 ton - 830,00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2) od samochodów ciężarowych z zawieszeniem pneumatycznym lub zawieszeniem uznanym za równoważne o dopuszczalnej masie całkowitej 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a) o liczbie osi - 2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13 ton - 530,00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13 ton, a mniejszej niż 14 ton - 570,00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14 ton, a mniejszej niż 15 ton - 650,00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15 ton - 830,00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b) o liczbie osi - 3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17 ton - 650,00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17 ton, a mniejszej niż 19 ton - 830,00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19 ton, a mniejszej niż 21 ton - 880,00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21 ton, a mniejszej niż 23 tony - 1 120,00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23 tony, a mniejszej niż 25 ton - 1 400,00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25 ton - 1 540,00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c) o liczbie osi 4 i więcej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25 ton - 1 020,00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25 ton, a mniejszej niż 27 ton - 1 060,00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27 ton, a mniejszej niż 29 ton - 1 540,00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29 ton, a mniejszej niż 31 ton - 2 260,00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31 ton - 2 260,00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3) od samochodów ciężarowych z innym zawieszeniem osi jezdnych niż wymienione w pkt 2 o dopuszczalnej masie całkowitej 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a) o liczbie osi - 2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13 ton - 650,00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13 ton, a mniejszej niż 14 ton - 650,00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14 ton, a mniejszej niż 15 ton - 830,00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15 ton - 1 770,00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b) o liczbie osi - 3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17 ton - 830,00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17 ton, a mniejszej niż 19 ton - 880,00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19 ton, a mniejszej niż 21 ton - 1 120,00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21 ton, a mniejszej niż 23 tony - 1 400,00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23 tony, a mniejszej niż 25 ton - 2 150,00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25 ton - 2 250,00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c) o liczbie osi - 4 i więcej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25 ton - 1 020,00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25 ton, a mniejszej niż 27 ton - 1 540,00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27 ton, a mniejszej niż 29 ton - 2 540,00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29 ton, a mniejszej niż 31 ton - 3 030,00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31 ton - 3 030,00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4) od ciągników siodłowych lub balastowych przystosowanych do używania łącznie z naczepą lub przyczepą o dopuszczalnej masie całkowitej zespołu pojazdów 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od 3,5 tony i poniżej 12 ton - 490,00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5) od ciągników siodłowych lub balastowych przystosowanych do używania łącznie z naczepą lub przyczepą z zawieszeniem pneumatycznym lub zawieszeniem uznanym za równoważne, o dopuszczalnej masie całkowitej zespołu pojazdów 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a) o liczbie osi - 2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18 ton - 650,00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18 ton, a mniejszej niż 25 ton - 830,00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25 ton, a mniejszej niż 31 ton - 880,00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31 ton - 1 880,00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b) o liczbie osi - 3 i więcej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do 36 ton włącznie - 1 770,00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wyższej niż 36 ton, a mniejszej niż 40 ton - 1 940,00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40 ton - 2 260,00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6) od ciągników siodłowych lub balastowych przystosowanych do używania łącznie z naczepą lub przyczepą z innym systemem zawieszenia osi jezdnych niż wymienione w pkt 5, o dopuszczalnej masie całkowitej zespołu pojazdów: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a) o liczbie osi - 2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18 ton - 530,00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18 ton, a mniejszej niż 25 ton - 830,00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25 ton, a mniejszej niż 31 ton - 1 540,00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31 ton - 2 330,00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b) o liczbie osi - 3 i więcej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do 36 ton włącznie - 2 320,00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wyższej niż 36 ton a mniejszej niż 40 ton - 2 870,00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40 ton - 3 030,00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7) od przyczep lub naczep, które łącznie z pojazdem silnikowym posiadają dopuszczalną masę całkowitą od 7 ton i poniżej 12 ton z wyjątkiem związanych wyłącznie z działalnością rolniczą prowadzoną przez podatnika podatku rolnego 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od 7 ton i poniżej 12 ton - 350,00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8) od przyczep lub naczep z zawieszeniem pneumatycznym lub zawieszeniem uznanym za równoważne, z wyjątkiem związanych wyłącznie z działalnością rolniczą prowadzoną przez podatnika podatku rolnego o dopuszczalnej masie całkowitej liczonej łącznie z pojazdem silnikowym: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a) o liczbie osi - 1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18 ton - 350,00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lun wyższej niż 18 ton, a mniejszej niż 25 ton - 460,00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25 ton - 530,00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b) o liczbie osi - 2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28 ton - 530,00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28 ton, a mniejszej niż 33 tony - 880,00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33 tony do 36 ton włącznie - 1 120,00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wyższej niż 36 ton, a mniejszej niż 38 ton - 1 350,00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38 ton - 1 590,00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c) o liczbie osi - 3 i więcej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 do 36 ton włącznie - 1 020,00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wyższej niż 36 ton, a mniejszej niż 38 ton - 1 060,00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38 ton - 1 350,00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9) od przyczep lub naczep z innym zawieszeniem osi jezdnych niż wymienione w pkt 8, z wyjątkiem związanych wyłącznie z działalnością rolniczą prowadzoną przez podatnika podatku rolnego o dopuszczalnej masie całkowitej liczonej łącznie z pojazdem silnikowym: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a) o liczbie osi - 1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18 ton - 350,00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18 ton, a mniejszej niż 25 ton - 530,00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25 ton - 830,00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b) o liczbie osi - 2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ton, a mniejszej niż 28 ton - 530,00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28 ton, a mniejszej niż 33 tony - 1 350,00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33 tony do 36 ton włącznie - 1 770,00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wyższej niż 36 ton, a mniejszej niż 38 ton - 1 900,00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38 ton - 2 250,00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c) o liczbie osi - 3 i więcej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12 ton do 36 ton włącznie - 1 350,00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wyższej niż 36 ton, a mniejszej niż 38 ton - 1 460,00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38 ton - 1 730,00 zł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10) od autobusów w zależności od liczby miejsc do siedzenia :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do 15 miejsc - 550,00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powyżej 15 miejsc, a mniej niż 30 miejsc - 1 350,00 zł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- równej lub wyższej niż 30 miejsc - 2 060,00 zł</w:t>
      </w:r>
      <w:r/>
    </w:p>
    <w:p>
      <w:pPr>
        <w:pStyle w:val="Normal"/>
        <w:rPr>
          <w:sz w:val="20"/>
          <w:sz w:val="20"/>
          <w:szCs w:val="20"/>
        </w:rPr>
      </w:pPr>
      <w:r>
        <w:rPr>
          <w:rFonts w:cs="Verdana;Arial" w:ascii="Verdana;Arial" w:hAnsi="Verdana;Arial"/>
          <w:sz w:val="20"/>
          <w:szCs w:val="20"/>
        </w:rPr>
        <w:t>§ 2.  Uchwała podlega ogłoszeniu w Dzienniku Urzędowym Województwa Kujawsko-Pomorskiego i wchodzi w życie z dniem 1 stycznia 2015 r.</w:t>
      </w:r>
      <w:r/>
    </w:p>
    <w:p>
      <w:pPr>
        <w:pStyle w:val="Normal"/>
        <w:rPr>
          <w:sz w:val="20"/>
          <w:sz w:val="20"/>
          <w:szCs w:val="20"/>
          <w:rFonts w:ascii="Verdana;Arial" w:hAnsi="Verdana;Arial" w:cs="Verdana;Arial"/>
        </w:rPr>
      </w:pPr>
      <w:r>
        <w:rPr>
          <w:sz w:val="20"/>
          <w:szCs w:val="20"/>
        </w:rPr>
        <w:t> </w:t>
      </w:r>
      <w:r/>
    </w:p>
    <w:p>
      <w:pPr>
        <w:pStyle w:val="Normal"/>
        <w:rPr>
          <w:sz w:val="20"/>
          <w:sz w:val="20"/>
          <w:szCs w:val="20"/>
          <w:rFonts w:ascii="Verdana;Arial" w:hAnsi="Verdana;Arial" w:eastAsia="Lucida Sans Unicode" w:cs="Verdana;Arial"/>
          <w:color w:val="auto"/>
          <w:lang w:val="pl-PL" w:eastAsia="zh-CN" w:bidi="hi-IN"/>
        </w:rPr>
      </w:pPr>
      <w:r>
        <w:rPr>
          <w:rFonts w:cs="Verdana;Arial" w:ascii="Verdana;Arial" w:hAnsi="Verdana;Arial"/>
          <w:sz w:val="20"/>
          <w:szCs w:val="20"/>
        </w:rPr>
      </w:r>
      <w:r/>
    </w:p>
    <w:p>
      <w:pPr>
        <w:pStyle w:val="Normal"/>
        <w:rPr>
          <w:sz w:val="20"/>
          <w:sz w:val="20"/>
          <w:szCs w:val="20"/>
          <w:rFonts w:ascii="Verdana;Arial" w:hAnsi="Verdana;Arial" w:eastAsia="Lucida Sans Unicode" w:cs="Verdana;Arial"/>
          <w:color w:val="auto"/>
          <w:lang w:val="pl-PL" w:eastAsia="zh-CN" w:bidi="hi-IN"/>
        </w:rPr>
      </w:pPr>
      <w:r>
        <w:rPr>
          <w:rFonts w:cs="Verdana;Arial" w:ascii="Verdana;Arial" w:hAnsi="Verdana;Arial"/>
          <w:sz w:val="20"/>
          <w:szCs w:val="20"/>
        </w:rPr>
      </w:r>
      <w:r/>
    </w:p>
    <w:p>
      <w:pPr>
        <w:pStyle w:val="Normal"/>
        <w:rPr>
          <w:sz w:val="20"/>
          <w:sz w:val="20"/>
          <w:szCs w:val="20"/>
          <w:rFonts w:ascii="Verdana;Arial" w:hAnsi="Verdana;Arial" w:eastAsia="Lucida Sans Unicode" w:cs="Verdana;Arial"/>
          <w:color w:val="auto"/>
          <w:lang w:val="pl-PL" w:eastAsia="zh-CN" w:bidi="hi-IN"/>
        </w:rPr>
      </w:pPr>
      <w:r>
        <w:rPr>
          <w:rFonts w:cs="Verdana;Arial" w:ascii="Verdana;Arial" w:hAnsi="Verdana;Arial"/>
          <w:sz w:val="20"/>
          <w:szCs w:val="20"/>
        </w:rPr>
      </w:r>
      <w:r/>
    </w:p>
    <w:p>
      <w:pPr>
        <w:pStyle w:val="Normal"/>
        <w:spacing w:before="0" w:after="283"/>
        <w:rPr>
          <w:sz w:val="20"/>
          <w:sz w:val="20"/>
          <w:szCs w:val="20"/>
          <w:rFonts w:ascii="Verdana;Arial" w:hAnsi="Verdana;Arial" w:eastAsia="Lucida Sans Unicode" w:cs="Verdana;Arial"/>
          <w:color w:val="auto"/>
          <w:lang w:val="pl-PL" w:eastAsia="zh-CN" w:bidi="hi-IN"/>
        </w:rPr>
      </w:pPr>
      <w:r>
        <w:rPr>
          <w:rFonts w:cs="Verdana;Arial" w:ascii="Verdana;Arial" w:hAnsi="Verdana;Arial"/>
          <w:sz w:val="20"/>
          <w:szCs w:val="20"/>
        </w:rPr>
      </w:r>
      <w:r/>
    </w:p>
    <w:p>
      <w:pPr>
        <w:pStyle w:val="Cytaty"/>
        <w:pBdr/>
        <w:spacing w:before="0" w:after="283"/>
        <w:ind w:left="0" w:right="7427" w:hanging="0"/>
        <w:jc w:val="center"/>
        <w:rPr>
          <w:sz w:val="20"/>
          <w:b/>
          <w:sz w:val="20"/>
          <w:b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b/>
          <w:sz w:val="20"/>
          <w:szCs w:val="20"/>
        </w:rPr>
        <w:t>Przewodniczący Rady Gminy  Henryk Sykut</w:t>
      </w:r>
      <w:r/>
    </w:p>
    <w:p>
      <w:pPr>
        <w:pStyle w:val="Tretekstu"/>
        <w:spacing w:before="0" w:after="0"/>
        <w:ind w:left="1167" w:right="567" w:hanging="0"/>
        <w:jc w:val="center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b/>
          <w:sz w:val="20"/>
          <w:szCs w:val="20"/>
        </w:rPr>
        <w:t>UZASADNIENIE</w:t>
      </w:r>
      <w:r/>
    </w:p>
    <w:p>
      <w:pPr>
        <w:pStyle w:val="Tretekstu"/>
        <w:spacing w:before="0" w:after="0"/>
        <w:rPr>
          <w:sz w:val="20"/>
          <w:sz w:val="20"/>
          <w:szCs w:val="20"/>
          <w:rFonts w:ascii="Verdana;Arial" w:hAnsi="Verdana;Arial" w:eastAsia="Lucida Sans Unicode" w:cs="Verdana;Arial"/>
          <w:color w:val="auto"/>
          <w:lang w:val="pl-PL" w:eastAsia="zh-CN" w:bidi="hi-IN"/>
        </w:rPr>
      </w:pPr>
      <w:r>
        <w:rPr>
          <w:rFonts w:cs="Verdana;Arial" w:ascii="Verdana;Arial" w:hAnsi="Verdana;Arial"/>
          <w:sz w:val="20"/>
          <w:szCs w:val="20"/>
        </w:rPr>
      </w:r>
      <w:r/>
    </w:p>
    <w:p>
      <w:pPr>
        <w:pStyle w:val="Tretekstu"/>
        <w:spacing w:before="0" w:after="0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Zgodnie z dyspozycją przewidzianą w art. 20 ust. 2 ustawy z dnia 12 stycznia 1991 roku o podatkach i opłatach lokalnych (Dz. U. z 2014 r., poz. 849) Minister Finansów w drodze obwieszczenia w Dzienniku Urzędowym Rzeczypospolitej Polskiej - Monitor Polski z dnia 27 sierpnia 2014 r. poz. 718, ogłosił górne granice stawek kwotowych podatków i opłat lokalnych, w tym podatku od środków transportowych na 2015 rok. Stawki obowiązujące w danym roku podatkowym ulegają corocznie zmianie na następny rok podatkowy w stopniu odpowiadającym wskaźnikowi wzrostu cen towarów i usług konsumpcyjnych w okresie pierwszego półrocza roku, w którym stawki ulegają zmianie, w stosunku do analogicznego okresu roku poprzedniego. Wskaźnik cen ustala się na podstawie komunikatu Prezesa Głównego Urzędu Statystycznego ogłoszonego w Dzienniku Urzędowym Rzeczypospolitej Polskiej „Monitor Polski” w terminie 20 dni po upływie pierwszego półrocza. Zgodnie z komunikatem Prezesa Głównego Urzędu Statystycznego z dnia 15 lipca 2014 r. opublikowanym w Monitorze Polskim poz. 575, wskaźnik wzrostu cen towarów i usług konsumpcyjnych w I półroczu 2014 r. w stosunku do I półrocza 2013 r. wyniósł 100,4 (wzrost cen o 0,4 %). </w:t>
      </w:r>
      <w:r/>
    </w:p>
    <w:p>
      <w:pPr>
        <w:pStyle w:val="Tretekstu"/>
        <w:spacing w:before="0" w:after="0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Ponadto w oparciu o dyspozycję zawartą w art. 12b ust. 4 ustawy z dnia 12 stycznia 1991 r. o podatkach i opłatach lokalnych (tj. Dz. U. z 2014 r., poz. 849) Minister Finansów ogłasza w Dzienniku Urzędowym Rzeczypospolitej Polskiej „Monitor Polski”, w drodze obwieszczenia, stawki podatku od środków transportowych określone w załącznikach nr 1 – 3 do ustawy, obowiązujące w następnym roku podatkowym. </w:t>
      </w:r>
      <w:r/>
    </w:p>
    <w:p>
      <w:pPr>
        <w:pStyle w:val="Tretekstu"/>
        <w:spacing w:before="0" w:after="0"/>
        <w:rPr>
          <w:sz w:val="20"/>
          <w:sz w:val="20"/>
          <w:szCs w:val="20"/>
          <w:rFonts w:ascii="Verdana;Arial" w:hAnsi="Verdana;Arial" w:cs="Verdana;Arial"/>
        </w:rPr>
      </w:pPr>
      <w:r>
        <w:rPr>
          <w:rFonts w:cs="Verdana;Arial" w:ascii="Verdana;Arial" w:hAnsi="Verdana;Arial"/>
          <w:sz w:val="20"/>
          <w:szCs w:val="20"/>
        </w:rPr>
        <w:t>Stawki przeliczane są zgodnie z procentowym wskaźnikiem kursu euro na pierwszy dzień roboczy października danego roku w stosunku do kursu euro w roku poprzedzającym dany rok podatkowy w przypadku, gdy wskaźnik ten jest wyższy niż 5%. Do przeliczenia stawek stosuje się kurs wymiany euro i walut krajowych opublikowany w Dzienniku Urzędowym Unii Europejskiej. Przeliczone stawki zaokrągla się w górę do pełnych groszy. Wysokość stawek minimalnych określa się dla: samochodów ciężarowych o dopuszczalnej masie całkowitej równej lub wyższej niż 12 ton, ciągników siodłowych i balastowych przystosowanych do używania łącznie z naczepą lub przyczepą o dopuszczalnej masie całkowitej zespołu pojazdów równej lub wyższej niż 12 ton oraz przyczep i naczep, które łącznie z pojazdem silnikowym posiadają dopuszczalną masę całkowitą równą lub wyższą niż 12 ton, z wyjątkiem związanych wyłącznie z działalnością rolniczą prowadzoną przez podatnika podatku rolnego. Kurs euro ogłoszony na pierwszy dzień roboczy października 2014 r., tj. na dzień 1 października 2014 r. wyniósł 4,1792 zł., a zatem uległ zmniejszeniu o 1,17 % w stosunku do kursu euro ogłoszonego na pierwszy dzień roboczy października roku poprzedniego, który 1 października 2013 r. wynosił 4,2288 zł.. W związku z tym, jeżeli wskaźnik jest niższy niż 5% stawki określone w załącznikach nr 1-3 nie ulegają zmianie w następnym roku podatkowym. Obwieszczeniem z dnia 10 października 2014 r. opublikowanym w Monitorze Polskim (M.P. 2014, poz. 895 z dnia 13.10.2014 r.) Minister Finansów ogłosił obowiązujące w 2015 r. stawki minimalne od środków transportowych określone w załącznikach 1 – 3 cytowanej wyżej ustawy jako załączniki nr 1-3 do powyższego obwieszczenia. Zgodnie z zapisami ustawy o podatkach i opłatach lokalnych w przypadku gdzie górna stawka podatku, o której mowa w art. 10 ust. 1 pkt 2, 4 lub 6 jest niższa od odpowiedniej stawki minimalnej określonej przez Ministra Finansów w obwieszczeniu górnej stawki nie uwzględnia się. Rada Gminy zgodnie z dyspozycją ustawy o podatkach i opłatach lokalnych przywołanej w podstawie prawnej może ustalić wysokość stawek w podatku od środków transportowych z tym, że roczna stawka podatku od jednego środka nie może przekroczyć górnych stawek kwotowych obwieszczonych na dany rok przez Ministra Finansów. Powyższe stawki stanowią podstawę do ustalenia dochodów własnych Gminy. </w:t>
      </w:r>
      <w:r/>
    </w:p>
    <w:p>
      <w:pPr>
        <w:pStyle w:val="Tretekstu"/>
        <w:spacing w:before="0" w:after="0"/>
        <w:rPr>
          <w:sz w:val="20"/>
          <w:sz w:val="20"/>
          <w:szCs w:val="20"/>
          <w:rFonts w:ascii="Verdana;Arial" w:hAnsi="Verdana;Arial" w:eastAsia="Lucida Sans Unicode" w:cs="Verdana;Arial"/>
          <w:color w:val="auto"/>
          <w:lang w:val="pl-PL" w:eastAsia="zh-CN" w:bidi="hi-IN"/>
        </w:rPr>
      </w:pPr>
      <w:r>
        <w:rPr>
          <w:rFonts w:cs="Verdana;Arial" w:ascii="Verdana;Arial" w:hAnsi="Verdana;Arial"/>
          <w:sz w:val="20"/>
          <w:szCs w:val="20"/>
        </w:rPr>
      </w:r>
      <w:r/>
    </w:p>
    <w:p>
      <w:pPr>
        <w:pStyle w:val="Tretekstu"/>
        <w:spacing w:before="0" w:after="0"/>
        <w:rPr>
          <w:sz w:val="20"/>
          <w:sz w:val="20"/>
          <w:szCs w:val="20"/>
          <w:rFonts w:ascii="Verdana;Arial" w:hAnsi="Verdana;Arial" w:eastAsia="Lucida Sans Unicode" w:cs="Verdana;Arial"/>
          <w:color w:val="auto"/>
          <w:lang w:val="pl-PL" w:eastAsia="zh-CN" w:bidi="hi-IN"/>
        </w:rPr>
      </w:pPr>
      <w:r>
        <w:rPr>
          <w:rFonts w:cs="Verdana;Arial" w:ascii="Verdana;Arial" w:hAnsi="Verdana;Arial"/>
          <w:sz w:val="20"/>
          <w:szCs w:val="20"/>
        </w:rPr>
      </w:r>
      <w:r/>
    </w:p>
    <w:p>
      <w:pPr>
        <w:pStyle w:val="Tretekstu"/>
        <w:rPr>
          <w:sz w:val="20"/>
          <w:sz w:val="20"/>
          <w:szCs w:val="20"/>
          <w:rFonts w:ascii="Verdana;Arial" w:hAnsi="Verdana;Arial" w:eastAsia="Lucida Sans Unicode" w:cs="Verdana;Arial"/>
          <w:color w:val="auto"/>
          <w:lang w:val="pl-PL" w:eastAsia="zh-CN" w:bidi="hi-IN"/>
        </w:rPr>
      </w:pPr>
      <w:r>
        <w:rPr>
          <w:rFonts w:cs="Verdana;Arial" w:ascii="Verdana;Arial" w:hAnsi="Verdana;Arial"/>
          <w:sz w:val="20"/>
          <w:szCs w:val="20"/>
        </w:rPr>
      </w:r>
      <w:r/>
    </w:p>
    <w:p>
      <w:pPr>
        <w:pStyle w:val="Cytaty"/>
        <w:pBdr/>
        <w:spacing w:before="0" w:after="283"/>
        <w:ind w:left="6350" w:right="6180" w:hanging="0"/>
        <w:jc w:val="center"/>
        <w:rPr>
          <w:sz w:val="20"/>
          <w:sz w:val="20"/>
          <w:szCs w:val="20"/>
          <w:rFonts w:ascii="Liberation Serif;Times New Roman" w:hAnsi="Liberation Serif;Times New Roman" w:eastAsia="Lucida Sans Unicode" w:cs="Mangal"/>
          <w:color w:val="auto"/>
          <w:lang w:val="pl-PL" w:eastAsia="zh-CN" w:bidi="hi-IN"/>
        </w:rPr>
      </w:pPr>
      <w:r>
        <w:rPr>
          <w:sz w:val="20"/>
          <w:szCs w:val="20"/>
        </w:rPr>
      </w:r>
      <w:r/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altName w:val="Arial"/>
    <w:charset w:val="ee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ucida Sans Unicode" w:cs="Mangal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</w:pPr>
    <w:rPr>
      <w:rFonts w:ascii="Liberation Serif;Times New Roman" w:hAnsi="Liberation Serif;Times New Roman" w:eastAsia="Lucida Sans Unicode" w:cs="Mangal"/>
      <w:color w:val="auto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;Arial" w:hAnsi="Liberation Sans;Arial" w:eastAsia="Lucida Sans Unicode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Cytaty">
    <w:name w:val="Cytaty"/>
    <w:basedOn w:val="Normal"/>
    <w:pPr>
      <w:spacing w:before="0" w:after="283"/>
      <w:ind w:left="567" w:right="567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293</TotalTime>
  <Application>LibreOffice/4.3.3.2$Windows_x86 LibreOffice_project/9bb7eadab57b6755b1265afa86e04bf45fbfc644</Application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2015-01-02T11:27:04Z</dcterms:created>
  <dc:language>pl-PL</dc:language>
  <dcterms:modified xsi:type="dcterms:W3CDTF">2015-01-02T11:25:53Z</dcterms:modified>
  <cp:revision>1</cp:revision>
</cp:coreProperties>
</file>